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pStyle w:val="3"/>
        <w:ind w:firstLine="0" w:firstLineChars="0"/>
        <w:jc w:val="center"/>
        <w:rPr>
          <w:rFonts w:ascii="宋体" w:hAnsi="宋体"/>
          <w:b/>
          <w:bCs/>
        </w:rPr>
      </w:pPr>
    </w:p>
    <w:p>
      <w:pPr>
        <w:jc w:val="center"/>
        <w:rPr>
          <w:rFonts w:ascii="黑体" w:eastAsia="黑体"/>
          <w:sz w:val="72"/>
          <w:szCs w:val="72"/>
        </w:rPr>
      </w:pPr>
    </w:p>
    <w:p>
      <w:pPr>
        <w:pStyle w:val="3"/>
        <w:ind w:firstLine="0" w:firstLineChars="0"/>
        <w:jc w:val="center"/>
        <w:rPr>
          <w:rFonts w:ascii="黑体" w:hAnsi="黑体" w:eastAsia="黑体" w:cs="宋体"/>
          <w:bCs/>
          <w:sz w:val="48"/>
          <w:szCs w:val="48"/>
        </w:rPr>
      </w:pPr>
      <w:r>
        <w:rPr>
          <w:rFonts w:hint="eastAsia" w:ascii="黑体" w:hAnsi="黑体" w:eastAsia="黑体" w:cs="宋体"/>
          <w:bCs/>
          <w:sz w:val="48"/>
          <w:szCs w:val="48"/>
        </w:rPr>
        <w:t>昌吉州公共资源交易平台</w:t>
      </w:r>
    </w:p>
    <w:p>
      <w:pPr>
        <w:pStyle w:val="3"/>
        <w:ind w:firstLine="0" w:firstLineChars="0"/>
        <w:jc w:val="center"/>
        <w:rPr>
          <w:rFonts w:ascii="黑体" w:hAnsi="黑体" w:eastAsia="黑体" w:cs="宋体"/>
          <w:bCs/>
          <w:sz w:val="48"/>
          <w:szCs w:val="48"/>
        </w:rPr>
      </w:pPr>
      <w:r>
        <w:rPr>
          <w:rFonts w:hint="eastAsia" w:ascii="黑体" w:hAnsi="黑体" w:eastAsia="黑体" w:cs="宋体"/>
          <w:bCs/>
          <w:sz w:val="48"/>
          <w:szCs w:val="48"/>
        </w:rPr>
        <w:t>投标人操作手册</w:t>
      </w:r>
    </w:p>
    <w:p>
      <w:pPr>
        <w:pStyle w:val="3"/>
        <w:ind w:firstLine="0" w:firstLineChars="0"/>
        <w:jc w:val="center"/>
        <w:rPr>
          <w:rFonts w:ascii="黑体" w:hAnsi="黑体" w:eastAsia="黑体" w:cs="宋体"/>
          <w:bCs/>
          <w:sz w:val="48"/>
          <w:szCs w:val="48"/>
        </w:rPr>
      </w:pPr>
      <w:r>
        <w:rPr>
          <w:rFonts w:hint="eastAsia" w:ascii="黑体" w:hAnsi="黑体" w:eastAsia="黑体" w:cs="宋体"/>
          <w:bCs/>
          <w:sz w:val="48"/>
          <w:szCs w:val="48"/>
        </w:rPr>
        <w:t>V1.</w:t>
      </w:r>
      <w:r>
        <w:rPr>
          <w:rFonts w:ascii="黑体" w:hAnsi="黑体" w:eastAsia="黑体" w:cs="宋体"/>
          <w:bCs/>
          <w:sz w:val="48"/>
          <w:szCs w:val="48"/>
        </w:rPr>
        <w:t>3</w:t>
      </w:r>
    </w:p>
    <w:p>
      <w:pPr>
        <w:widowControl/>
        <w:jc w:val="left"/>
        <w:rPr>
          <w:rFonts w:ascii="黑体" w:hAnsi="黑体" w:eastAsia="黑体" w:cs="宋体"/>
          <w:bCs/>
          <w:sz w:val="48"/>
          <w:szCs w:val="48"/>
        </w:rPr>
      </w:pPr>
      <w:r>
        <w:rPr>
          <w:rFonts w:ascii="黑体" w:hAnsi="黑体" w:eastAsia="黑体" w:cs="宋体"/>
          <w:bCs/>
          <w:sz w:val="48"/>
          <w:szCs w:val="48"/>
        </w:rPr>
        <w:br w:type="page"/>
      </w:r>
    </w:p>
    <w:p>
      <w:pPr>
        <w:pStyle w:val="3"/>
        <w:ind w:firstLine="0" w:firstLineChars="0"/>
        <w:jc w:val="center"/>
        <w:rPr>
          <w:rFonts w:ascii="黑体" w:eastAsia="黑体"/>
          <w:sz w:val="48"/>
          <w:szCs w:val="48"/>
        </w:rPr>
      </w:pPr>
    </w:p>
    <w:p>
      <w:pPr>
        <w:jc w:val="center"/>
        <w:rPr>
          <w:rFonts w:ascii="黑体" w:eastAsia="黑体"/>
          <w:sz w:val="44"/>
          <w:szCs w:val="44"/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33449223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9"/>
            <w:jc w:val="center"/>
          </w:pPr>
          <w:r>
            <w:rPr>
              <w:lang w:val="zh-CN"/>
            </w:rPr>
            <w:t>目录</w:t>
          </w:r>
        </w:p>
        <w:p>
          <w:pPr>
            <w:pStyle w:val="12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"_Toc15295581" </w:instrText>
          </w:r>
          <w:r>
            <w:fldChar w:fldCharType="separate"/>
          </w:r>
          <w:r>
            <w:rPr>
              <w:rStyle w:val="18"/>
              <w:rFonts w:hint="eastAsia" w:ascii="宋体" w:hAnsi="宋体"/>
            </w:rPr>
            <w:t>一.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 w:ascii="宋体" w:hAnsi="宋体"/>
            </w:rPr>
            <w:t>前序工作</w:t>
          </w:r>
          <w:r>
            <w:tab/>
          </w:r>
          <w:r>
            <w:fldChar w:fldCharType="begin"/>
          </w:r>
          <w:r>
            <w:instrText xml:space="preserve"> PAGEREF _Toc15295581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"_Toc15295582" </w:instrText>
          </w:r>
          <w:r>
            <w:fldChar w:fldCharType="separate"/>
          </w:r>
          <w:r>
            <w:rPr>
              <w:rStyle w:val="18"/>
              <w:rFonts w:hint="eastAsia"/>
            </w:rPr>
            <w:t>二.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/>
            </w:rPr>
            <w:t>投标报名</w:t>
          </w:r>
          <w:r>
            <w:tab/>
          </w:r>
          <w:r>
            <w:fldChar w:fldCharType="begin"/>
          </w:r>
          <w:r>
            <w:instrText xml:space="preserve"> PAGEREF _Toc15295582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"_Toc15295583" </w:instrText>
          </w:r>
          <w:r>
            <w:fldChar w:fldCharType="separate"/>
          </w:r>
          <w:r>
            <w:rPr>
              <w:rStyle w:val="18"/>
            </w:rPr>
            <w:t>2.1</w:t>
          </w:r>
          <w:r>
            <w:rPr>
              <w:rStyle w:val="18"/>
              <w:rFonts w:hint="eastAsia"/>
            </w:rPr>
            <w:t>账号登陆</w:t>
          </w:r>
          <w:r>
            <w:tab/>
          </w:r>
          <w:r>
            <w:fldChar w:fldCharType="begin"/>
          </w:r>
          <w:r>
            <w:instrText xml:space="preserve"> PAGEREF _Toc15295583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"_Toc15295584" </w:instrText>
          </w:r>
          <w:r>
            <w:fldChar w:fldCharType="separate"/>
          </w:r>
          <w:r>
            <w:rPr>
              <w:rStyle w:val="18"/>
            </w:rPr>
            <w:t>2.2</w:t>
          </w:r>
          <w:r>
            <w:rPr>
              <w:rStyle w:val="18"/>
              <w:rFonts w:hint="eastAsia"/>
            </w:rPr>
            <w:t>投标报名</w:t>
          </w:r>
          <w:r>
            <w:tab/>
          </w:r>
          <w:r>
            <w:fldChar w:fldCharType="begin"/>
          </w:r>
          <w:r>
            <w:instrText xml:space="preserve"> PAGEREF _Toc15295584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"_Toc15295585" </w:instrText>
          </w:r>
          <w:r>
            <w:fldChar w:fldCharType="separate"/>
          </w:r>
          <w:r>
            <w:rPr>
              <w:rStyle w:val="18"/>
            </w:rPr>
            <w:t>2.3</w:t>
          </w:r>
          <w:r>
            <w:rPr>
              <w:rStyle w:val="18"/>
              <w:rFonts w:hint="eastAsia"/>
            </w:rPr>
            <w:t>招标文件领取</w:t>
          </w:r>
          <w:r>
            <w:tab/>
          </w:r>
          <w:r>
            <w:fldChar w:fldCharType="begin"/>
          </w:r>
          <w:r>
            <w:instrText xml:space="preserve"> PAGEREF _Toc15295585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"_Toc15295586" </w:instrText>
          </w:r>
          <w:r>
            <w:fldChar w:fldCharType="separate"/>
          </w:r>
          <w:r>
            <w:rPr>
              <w:rStyle w:val="18"/>
            </w:rPr>
            <w:t>2.4</w:t>
          </w:r>
          <w:r>
            <w:rPr>
              <w:rStyle w:val="18"/>
              <w:rFonts w:hint="eastAsia"/>
            </w:rPr>
            <w:t>缴纳保证金</w:t>
          </w:r>
          <w:r>
            <w:tab/>
          </w:r>
          <w:r>
            <w:fldChar w:fldCharType="begin"/>
          </w:r>
          <w:r>
            <w:instrText xml:space="preserve"> PAGEREF _Toc15295586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"_Toc15295587" </w:instrText>
          </w:r>
          <w:r>
            <w:fldChar w:fldCharType="separate"/>
          </w:r>
          <w:r>
            <w:rPr>
              <w:rStyle w:val="18"/>
            </w:rPr>
            <w:t>2.5</w:t>
          </w:r>
          <w:r>
            <w:rPr>
              <w:rStyle w:val="18"/>
              <w:rFonts w:hint="eastAsia"/>
            </w:rPr>
            <w:t>答疑澄清文件领取（如有）</w:t>
          </w:r>
          <w:r>
            <w:tab/>
          </w:r>
          <w:r>
            <w:fldChar w:fldCharType="begin"/>
          </w:r>
          <w:r>
            <w:instrText xml:space="preserve"> PAGEREF _Toc15295587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"_Toc15295588" </w:instrText>
          </w:r>
          <w:r>
            <w:fldChar w:fldCharType="separate"/>
          </w:r>
          <w:r>
            <w:rPr>
              <w:rStyle w:val="18"/>
              <w:rFonts w:hint="eastAsia"/>
            </w:rPr>
            <w:t>三.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/>
            </w:rPr>
            <w:t>上传投标文件</w:t>
          </w:r>
          <w:r>
            <w:tab/>
          </w:r>
          <w:r>
            <w:fldChar w:fldCharType="begin"/>
          </w:r>
          <w:r>
            <w:instrText xml:space="preserve"> PAGEREF _Toc15295588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"_Toc15295589" </w:instrText>
          </w:r>
          <w:r>
            <w:fldChar w:fldCharType="separate"/>
          </w:r>
          <w:r>
            <w:rPr>
              <w:rStyle w:val="18"/>
            </w:rPr>
            <w:t>3.1</w:t>
          </w:r>
          <w:r>
            <w:rPr>
              <w:rStyle w:val="18"/>
              <w:rFonts w:hint="eastAsia"/>
            </w:rPr>
            <w:t>投标文件上传</w:t>
          </w:r>
          <w:r>
            <w:tab/>
          </w:r>
          <w:r>
            <w:fldChar w:fldCharType="begin"/>
          </w:r>
          <w:r>
            <w:instrText xml:space="preserve"> PAGEREF _Toc15295589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"_Toc15295590" </w:instrText>
          </w:r>
          <w:r>
            <w:fldChar w:fldCharType="separate"/>
          </w:r>
          <w:r>
            <w:rPr>
              <w:rStyle w:val="18"/>
            </w:rPr>
            <w:t>3.2</w:t>
          </w:r>
          <w:r>
            <w:rPr>
              <w:rStyle w:val="18"/>
              <w:rFonts w:hint="eastAsia"/>
            </w:rPr>
            <w:t>模拟解密</w:t>
          </w:r>
          <w:r>
            <w:tab/>
          </w:r>
          <w:r>
            <w:fldChar w:fldCharType="begin"/>
          </w:r>
          <w:r>
            <w:instrText xml:space="preserve"> PAGEREF _Toc15295590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"_Toc15295591" </w:instrText>
          </w:r>
          <w:r>
            <w:fldChar w:fldCharType="separate"/>
          </w:r>
          <w:r>
            <w:rPr>
              <w:rStyle w:val="18"/>
            </w:rPr>
            <w:t>3.3</w:t>
          </w:r>
          <w:r>
            <w:rPr>
              <w:rStyle w:val="18"/>
              <w:rFonts w:hint="eastAsia"/>
            </w:rPr>
            <w:t>投标文件撤回</w:t>
          </w:r>
          <w:r>
            <w:tab/>
          </w:r>
          <w:r>
            <w:fldChar w:fldCharType="begin"/>
          </w:r>
          <w:r>
            <w:instrText xml:space="preserve"> PAGEREF _Toc15295591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"_Toc15295592" </w:instrText>
          </w:r>
          <w:r>
            <w:fldChar w:fldCharType="separate"/>
          </w:r>
          <w:r>
            <w:rPr>
              <w:rStyle w:val="18"/>
              <w:rFonts w:hint="eastAsia"/>
            </w:rPr>
            <w:t>四.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/>
            </w:rPr>
            <w:t>其他操作流程</w:t>
          </w:r>
          <w:r>
            <w:tab/>
          </w:r>
          <w:r>
            <w:fldChar w:fldCharType="begin"/>
          </w:r>
          <w:r>
            <w:instrText xml:space="preserve"> PAGEREF _Toc15295592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"_Toc15295593" </w:instrText>
          </w:r>
          <w:r>
            <w:fldChar w:fldCharType="separate"/>
          </w:r>
          <w:r>
            <w:rPr>
              <w:rStyle w:val="18"/>
            </w:rPr>
            <w:t>4.1</w:t>
          </w:r>
          <w:r>
            <w:rPr>
              <w:rStyle w:val="18"/>
              <w:rFonts w:hint="eastAsia"/>
            </w:rPr>
            <w:t>控制价文件领取</w:t>
          </w:r>
          <w:r>
            <w:tab/>
          </w:r>
          <w:r>
            <w:fldChar w:fldCharType="begin"/>
          </w:r>
          <w:r>
            <w:instrText xml:space="preserve"> PAGEREF _Toc15295593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"_Toc15295594" </w:instrText>
          </w:r>
          <w:r>
            <w:fldChar w:fldCharType="separate"/>
          </w:r>
          <w:r>
            <w:rPr>
              <w:rStyle w:val="18"/>
            </w:rPr>
            <w:t>4.2</w:t>
          </w:r>
          <w:r>
            <w:rPr>
              <w:rStyle w:val="18"/>
              <w:rFonts w:hint="eastAsia"/>
            </w:rPr>
            <w:t>结果通知书查看</w:t>
          </w:r>
          <w:r>
            <w:tab/>
          </w:r>
          <w:r>
            <w:fldChar w:fldCharType="begin"/>
          </w:r>
          <w:r>
            <w:instrText xml:space="preserve"> PAGEREF _Toc15295594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ind w:firstLine="0" w:firstLineChars="0"/>
        <w:jc w:val="center"/>
        <w:rPr>
          <w:rFonts w:ascii="宋体" w:hAnsi="宋体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ind w:firstLine="0" w:firstLineChars="0"/>
        <w:rPr>
          <w:rFonts w:ascii="宋体" w:hAnsi="宋体"/>
          <w:b/>
          <w:bCs/>
        </w:rPr>
      </w:pPr>
    </w:p>
    <w:p>
      <w:pPr>
        <w:pStyle w:val="2"/>
        <w:rPr>
          <w:rFonts w:ascii="宋体" w:hAnsi="宋体"/>
        </w:rPr>
      </w:pPr>
      <w:bookmarkStart w:id="0" w:name="_Toc410488262"/>
      <w:bookmarkStart w:id="1" w:name="_Toc15295581"/>
      <w:bookmarkStart w:id="2" w:name="_Toc446945138"/>
      <w:bookmarkStart w:id="3" w:name="_Toc446944918"/>
      <w:bookmarkStart w:id="4" w:name="_Toc446945002"/>
      <w:bookmarkStart w:id="5" w:name="_Toc446946553"/>
      <w:r>
        <w:rPr>
          <w:rFonts w:hint="eastAsia" w:ascii="宋体" w:hAnsi="宋体"/>
        </w:rPr>
        <w:t>前序工作</w:t>
      </w:r>
      <w:bookmarkEnd w:id="0"/>
      <w:bookmarkEnd w:id="1"/>
    </w:p>
    <w:p>
      <w:pPr>
        <w:pStyle w:val="3"/>
        <w:ind w:firstLine="360"/>
      </w:pPr>
      <w:r>
        <w:rPr>
          <w:rFonts w:hint="eastAsia"/>
        </w:rPr>
        <w:t>投标单位参与网上招投标活动时需提前完成IE浏览器设置、驱动下载安装、企业诚信库入库操作（状态需为审核通过），如未完成以上操作，请参考：</w:t>
      </w:r>
    </w:p>
    <w:p>
      <w:pPr>
        <w:pStyle w:val="3"/>
        <w:ind w:firstLine="148" w:firstLineChars="62"/>
      </w:pPr>
      <w:r>
        <w:rPr>
          <w:rFonts w:hint="eastAsia"/>
        </w:rPr>
        <w:t>《昌吉州公共资源交易平台基本信息库入库操作手册》</w:t>
      </w:r>
    </w:p>
    <w:p>
      <w:pPr>
        <w:pStyle w:val="3"/>
        <w:ind w:firstLine="0" w:firstLineChars="0"/>
      </w:pPr>
      <w:r>
        <w:rPr>
          <w:rFonts w:hint="eastAsia"/>
        </w:rPr>
        <w:t>操作手册下载地址：</w:t>
      </w:r>
    </w:p>
    <w:p>
      <w:pPr>
        <w:pStyle w:val="3"/>
        <w:ind w:firstLine="0" w:firstLineChars="0"/>
        <w:rPr>
          <w:color w:val="0000FF"/>
          <w:u w:val="single"/>
        </w:rPr>
      </w:pPr>
      <w:r>
        <w:t>http://www.cjzwfw.cn/cjggzy/fwzn/004004/tradingCommon.html</w:t>
      </w:r>
    </w:p>
    <w:p>
      <w:pPr>
        <w:pStyle w:val="2"/>
      </w:pPr>
      <w:bookmarkStart w:id="6" w:name="_Toc15295582"/>
      <w:r>
        <w:rPr>
          <w:rFonts w:hint="eastAsia"/>
        </w:rPr>
        <w:t>投标报名</w:t>
      </w:r>
      <w:bookmarkEnd w:id="6"/>
    </w:p>
    <w:p>
      <w:pPr>
        <w:pStyle w:val="4"/>
      </w:pPr>
      <w:bookmarkStart w:id="7" w:name="_Toc15295583"/>
      <w:r>
        <w:t>2.1账号</w:t>
      </w:r>
      <w:r>
        <w:rPr>
          <w:rFonts w:hint="eastAsia"/>
        </w:rPr>
        <w:t>登陆</w:t>
      </w:r>
      <w:bookmarkEnd w:id="7"/>
    </w:p>
    <w:p>
      <w:pPr>
        <w:pStyle w:val="3"/>
        <w:ind w:firstLine="360"/>
      </w:pPr>
      <w:r>
        <w:t>流程：访问会员端地址，</w:t>
      </w:r>
      <w:r>
        <w:rPr>
          <w:rFonts w:hint="eastAsia"/>
        </w:rPr>
        <w:t>进行账号登陆</w:t>
      </w:r>
      <w:r>
        <w:t>操作。</w:t>
      </w:r>
    </w:p>
    <w:p>
      <w:pPr>
        <w:pStyle w:val="3"/>
        <w:ind w:firstLine="360"/>
      </w:pPr>
      <w:r>
        <w:rPr>
          <w:rFonts w:hint="eastAsia"/>
        </w:rPr>
        <w:t>方式一：会员端地址：</w:t>
      </w:r>
      <w:r>
        <w:t>http://www.cjzwfw.cn/TPBidder/memberLogin</w:t>
      </w: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方式二：昌吉州公共资源交易网地址：</w:t>
      </w:r>
      <w:r>
        <w:t>http://www.cjzwfw.cn/cjggzy/</w:t>
      </w:r>
    </w:p>
    <w:p>
      <w:pPr>
        <w:pStyle w:val="3"/>
        <w:ind w:firstLine="480" w:firstLineChars="200"/>
      </w:pPr>
      <w:r>
        <w:rPr>
          <w:rFonts w:hint="eastAsia"/>
        </w:rPr>
        <w:t>公共资源交易网，会员端登陆入口指示图：</w:t>
      </w:r>
    </w:p>
    <w:p>
      <w:pPr>
        <w:pStyle w:val="3"/>
        <w:ind w:firstLine="0" w:firstLineChars="0"/>
      </w:pPr>
      <w:r>
        <w:drawing>
          <wp:inline distT="0" distB="0" distL="0" distR="0">
            <wp:extent cx="4407535" cy="21488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525" cy="21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240" w:firstLineChars="100"/>
      </w:pPr>
      <w:r>
        <w:rPr>
          <w:rFonts w:hint="eastAsia"/>
        </w:rPr>
        <w:t>方式三：点击招标公告中，我要报名按钮</w:t>
      </w:r>
    </w:p>
    <w:p>
      <w:pPr>
        <w:pStyle w:val="3"/>
        <w:ind w:firstLine="0" w:firstLineChars="0"/>
      </w:pPr>
      <w:r>
        <w:drawing>
          <wp:inline distT="0" distB="0" distL="0" distR="0">
            <wp:extent cx="3594100" cy="240601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3589"/>
                    <a:stretch>
                      <a:fillRect/>
                    </a:stretch>
                  </pic:blipFill>
                  <pic:spPr>
                    <a:xfrm>
                      <a:off x="0" y="0"/>
                      <a:ext cx="3626036" cy="24272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3609975" cy="23596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rcRect t="1391" b="4174"/>
                    <a:stretch>
                      <a:fillRect/>
                    </a:stretch>
                  </pic:blipFill>
                  <pic:spPr>
                    <a:xfrm>
                      <a:off x="0" y="0"/>
                      <a:ext cx="3610030" cy="23600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</w:pPr>
      <w:r>
        <w:tab/>
      </w:r>
      <w:r>
        <w:rPr>
          <w:rFonts w:hint="eastAsia"/>
        </w:rPr>
        <w:t>会员端登陆页面：</w:t>
      </w:r>
    </w:p>
    <w:p>
      <w:pPr>
        <w:tabs>
          <w:tab w:val="left" w:pos="2994"/>
        </w:tabs>
      </w:pPr>
      <w:r>
        <w:drawing>
          <wp:inline distT="0" distB="0" distL="0" distR="0">
            <wp:extent cx="5222240" cy="3067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rcRect r="957" b="4622"/>
                    <a:stretch>
                      <a:fillRect/>
                    </a:stretch>
                  </pic:blipFill>
                  <pic:spPr>
                    <a:xfrm>
                      <a:off x="0" y="0"/>
                      <a:ext cx="5235393" cy="30750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994"/>
        </w:tabs>
      </w:pPr>
    </w:p>
    <w:p>
      <w:pPr>
        <w:tabs>
          <w:tab w:val="left" w:pos="2994"/>
        </w:tabs>
      </w:pPr>
    </w:p>
    <w:p>
      <w:pPr>
        <w:pStyle w:val="4"/>
        <w:rPr>
          <w:rFonts w:hint="default" w:eastAsia="宋体"/>
          <w:lang w:val="en-US" w:eastAsia="zh-CN"/>
        </w:rPr>
      </w:pPr>
      <w:bookmarkStart w:id="8" w:name="_Toc15295584"/>
      <w:r>
        <w:rPr>
          <w:rFonts w:hint="eastAsia"/>
        </w:rPr>
        <w:t>2.2投标报名</w:t>
      </w:r>
      <w:bookmarkEnd w:id="8"/>
      <w:r>
        <w:rPr>
          <w:rFonts w:hint="eastAsia"/>
          <w:lang w:val="en-US" w:eastAsia="zh-CN"/>
        </w:rPr>
        <w:t>/撤销报名</w:t>
      </w:r>
    </w:p>
    <w:p>
      <w:r>
        <w:rPr>
          <w:rFonts w:hint="eastAsia"/>
        </w:rPr>
        <w:t>登录系统后，在会员端首页，点击选择“公告中”选项，并选择招标类型：</w:t>
      </w:r>
    </w:p>
    <w:p>
      <w:r>
        <w:rPr>
          <w:rFonts w:hint="eastAsia"/>
        </w:rPr>
        <w:t>工程建设、政府采购等</w:t>
      </w:r>
    </w:p>
    <w:p>
      <w:r>
        <w:drawing>
          <wp:inline distT="0" distB="0" distL="0" distR="0">
            <wp:extent cx="5274310" cy="26212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238" cy="26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>选中公告，点击 “我要参与”按钮，进入项目详情页面。</w:t>
      </w:r>
      <w:r>
        <w:tab/>
      </w:r>
      <w:r>
        <w:rPr>
          <w:rFonts w:hint="eastAsia"/>
        </w:rPr>
        <w:t>进行报名操作，如图：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r>
        <w:drawing>
          <wp:inline distT="0" distB="0" distL="0" distR="0">
            <wp:extent cx="2070100" cy="17145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206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rFonts w:hint="eastAsia"/>
        </w:rPr>
        <w:t>报名详情页：填写完成基本信息后，点击左上角我要报名</w:t>
      </w:r>
    </w:p>
    <w:p>
      <w:r>
        <w:drawing>
          <wp:inline distT="0" distB="0" distL="0" distR="0">
            <wp:extent cx="5200650" cy="22415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5880" cy="224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操作完成后，如果想要撤销投标或者更换项目经理，继续在招标公告--公告中找到项目，点击查看报名，进去后点击左上角的“修改保存”可以修改项目经理，“撤销报名”撤销后可以再次报名。【</w:t>
      </w:r>
      <w:r>
        <w:rPr>
          <w:rFonts w:hint="eastAsia"/>
          <w:color w:val="FF0000"/>
          <w:lang w:val="en-US" w:eastAsia="zh-CN"/>
        </w:rPr>
        <w:t>如果已购买了招标文件，撤销报名后再次报名，则无需再缴纳标书费用</w:t>
      </w:r>
      <w:r>
        <w:rPr>
          <w:rFonts w:hint="eastAsia"/>
          <w:lang w:val="en-US" w:eastAsia="zh-CN"/>
        </w:rPr>
        <w:t>】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283460"/>
            <wp:effectExtent l="0" t="0" r="7620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投标报名操作完成后，点击“我的项目”按钮，如图：</w:t>
      </w:r>
    </w:p>
    <w:bookmarkEnd w:id="2"/>
    <w:bookmarkEnd w:id="3"/>
    <w:bookmarkEnd w:id="4"/>
    <w:bookmarkEnd w:id="5"/>
    <w:p>
      <w:pPr>
        <w:widowControl/>
        <w:jc w:val="left"/>
      </w:pPr>
      <w:r>
        <w:drawing>
          <wp:inline distT="0" distB="0" distL="0" distR="0">
            <wp:extent cx="5173980" cy="2199640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7669" cy="22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rPr>
          <w:rFonts w:hint="eastAsia"/>
        </w:rPr>
        <w:t>点击“项目流程”按钮</w:t>
      </w:r>
    </w:p>
    <w:p>
      <w:pPr>
        <w:widowControl/>
        <w:jc w:val="left"/>
      </w:pPr>
      <w:r>
        <w:drawing>
          <wp:inline distT="0" distB="0" distL="0" distR="0">
            <wp:extent cx="5073650" cy="21151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8193" cy="21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>进入详情页面后，按照流程进度条的提示，依次完成流程操作</w:t>
      </w:r>
      <w:r>
        <w:drawing>
          <wp:inline distT="0" distB="0" distL="0" distR="0">
            <wp:extent cx="5031740" cy="21202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1871" cy="212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5295585"/>
      <w:r>
        <w:t>2</w:t>
      </w:r>
      <w:r>
        <w:rPr>
          <w:rFonts w:hint="eastAsia"/>
        </w:rPr>
        <w:t>.3招标文件领取</w:t>
      </w:r>
      <w:bookmarkEnd w:id="9"/>
    </w:p>
    <w:p>
      <w:pPr>
        <w:pStyle w:val="3"/>
        <w:ind w:firstLine="360"/>
      </w:pPr>
      <w:r>
        <w:drawing>
          <wp:inline distT="0" distB="0" distL="0" distR="0">
            <wp:extent cx="4814570" cy="2459990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1921" cy="246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进入领取界面后，会显示标书费用，点击“网上支付”按钮。</w:t>
      </w:r>
    </w:p>
    <w:p>
      <w:pPr>
        <w:pStyle w:val="3"/>
        <w:ind w:firstLine="360"/>
      </w:pPr>
      <w:r>
        <w:drawing>
          <wp:inline distT="0" distB="0" distL="0" distR="0">
            <wp:extent cx="5163820" cy="202374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7859" cy="20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选择支付方式后，进行网上支付操作，操作完成后会收到支付成功提示。</w:t>
      </w:r>
    </w:p>
    <w:p>
      <w:pPr>
        <w:pStyle w:val="3"/>
        <w:ind w:firstLine="360"/>
      </w:pPr>
      <w:r>
        <w:drawing>
          <wp:inline distT="0" distB="0" distL="0" distR="0">
            <wp:extent cx="5195570" cy="2165985"/>
            <wp:effectExtent l="0" t="0" r="508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8821" cy="21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完成支付操作后，选择下载招标文件</w:t>
      </w:r>
    </w:p>
    <w:p>
      <w:pPr>
        <w:pStyle w:val="3"/>
        <w:ind w:firstLine="360"/>
      </w:pPr>
      <w:r>
        <w:drawing>
          <wp:inline distT="0" distB="0" distL="0" distR="0">
            <wp:extent cx="5274310" cy="204343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在招标文件领取页面，点击招标文件下载按钮，领取加密招标文件</w:t>
      </w:r>
    </w:p>
    <w:p>
      <w:pPr>
        <w:pStyle w:val="3"/>
        <w:ind w:firstLine="360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5134610" cy="1720215"/>
            <wp:effectExtent l="0" t="0" r="889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5169769" cy="1731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如图：</w:t>
      </w:r>
    </w:p>
    <w:p>
      <w:pPr>
        <w:pStyle w:val="4"/>
      </w:pPr>
      <w:bookmarkStart w:id="10" w:name="_Toc15295586"/>
      <w:r>
        <w:rPr>
          <w:rFonts w:hint="eastAsia"/>
        </w:rPr>
        <w:t>2.4缴纳保证金</w:t>
      </w:r>
      <w:bookmarkEnd w:id="10"/>
    </w:p>
    <w:p>
      <w:pPr>
        <w:pStyle w:val="3"/>
        <w:ind w:firstLine="360"/>
      </w:pPr>
      <w:r>
        <w:rPr>
          <w:rFonts w:hint="eastAsia"/>
        </w:rPr>
        <w:t>项目流程中，点击“投标保证金”流程按钮，进入网上缴纳页面</w:t>
      </w:r>
    </w:p>
    <w:p>
      <w:pPr>
        <w:pStyle w:val="3"/>
        <w:ind w:firstLine="360"/>
      </w:pPr>
      <w:r>
        <w:drawing>
          <wp:inline distT="0" distB="0" distL="0" distR="0">
            <wp:extent cx="4377055" cy="1969135"/>
            <wp:effectExtent l="0" t="0" r="444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1421" cy="198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rPr>
          <w:rFonts w:hint="eastAsia"/>
        </w:rPr>
        <w:t>进入详情页后，进行保证金缴纳（请注意核对项目子账号和金额）</w:t>
      </w:r>
    </w:p>
    <w:p>
      <w:pPr>
        <w:pStyle w:val="3"/>
        <w:ind w:firstLine="360"/>
      </w:pPr>
      <w:r>
        <w:drawing>
          <wp:inline distT="0" distB="0" distL="0" distR="0">
            <wp:extent cx="4385945" cy="1821180"/>
            <wp:effectExtent l="0" t="0" r="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3189" cy="183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  <w:rPr>
          <w:color w:val="FF0000"/>
        </w:rPr>
      </w:pPr>
      <w:r>
        <w:rPr>
          <w:rFonts w:hint="eastAsia"/>
          <w:color w:val="FF0000"/>
        </w:rPr>
        <w:t>特别提醒：</w:t>
      </w:r>
    </w:p>
    <w:p>
      <w:pPr>
        <w:pStyle w:val="3"/>
        <w:ind w:firstLine="300"/>
        <w:rPr>
          <w:color w:val="FF0000"/>
          <w:sz w:val="20"/>
        </w:rPr>
      </w:pPr>
      <w:r>
        <w:rPr>
          <w:rFonts w:hint="eastAsia"/>
          <w:color w:val="FF0000"/>
          <w:sz w:val="20"/>
        </w:rPr>
        <w:t>1投标保证金缴纳账户必须使用企业基本账户（需与诚信库基本户信息保持一致）</w:t>
      </w:r>
    </w:p>
    <w:p>
      <w:pPr>
        <w:pStyle w:val="3"/>
        <w:ind w:firstLine="300"/>
        <w:rPr>
          <w:color w:val="FF0000"/>
          <w:sz w:val="20"/>
        </w:rPr>
      </w:pPr>
      <w:r>
        <w:rPr>
          <w:rFonts w:hint="eastAsia"/>
          <w:color w:val="FF0000"/>
          <w:sz w:val="20"/>
        </w:rPr>
        <w:t>2.对公账户工作日下午5点扎帐，周六周日等节假日不进行保证金支付划转，请及时支付投标保证金并查询到账结果</w:t>
      </w:r>
    </w:p>
    <w:p>
      <w:pPr>
        <w:pStyle w:val="4"/>
      </w:pPr>
      <w:bookmarkStart w:id="11" w:name="_Toc15295587"/>
      <w:r>
        <w:t>2</w:t>
      </w:r>
      <w:r>
        <w:rPr>
          <w:rFonts w:hint="eastAsia"/>
        </w:rPr>
        <w:t>.5答疑澄清文件领取（如有）</w:t>
      </w:r>
      <w:bookmarkEnd w:id="11"/>
    </w:p>
    <w:p>
      <w:pPr>
        <w:pStyle w:val="3"/>
        <w:ind w:firstLine="360"/>
      </w:pPr>
      <w:r>
        <w:rPr>
          <w:rFonts w:hint="eastAsia"/>
        </w:rPr>
        <w:t>项目流程中，选择答疑澄清文件领取，操作步骤同</w:t>
      </w:r>
      <w:r>
        <w:t>“</w:t>
      </w:r>
      <w:r>
        <w:rPr>
          <w:rFonts w:hint="eastAsia"/>
        </w:rPr>
        <w:t>招标文件</w:t>
      </w:r>
      <w:r>
        <w:t>”</w:t>
      </w:r>
      <w:r>
        <w:rPr>
          <w:rFonts w:hint="eastAsia"/>
        </w:rPr>
        <w:t>领取环节。</w:t>
      </w:r>
    </w:p>
    <w:p>
      <w:pPr>
        <w:pStyle w:val="3"/>
        <w:ind w:firstLine="360"/>
      </w:pPr>
      <w:r>
        <w:drawing>
          <wp:inline distT="0" distB="0" distL="0" distR="0">
            <wp:extent cx="4902835" cy="205994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4539" cy="207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2" w:name="_Toc15295588"/>
      <w:r>
        <w:rPr>
          <w:rFonts w:hint="eastAsia"/>
        </w:rPr>
        <w:t>投标文件</w:t>
      </w:r>
      <w:bookmarkEnd w:id="12"/>
      <w:r>
        <w:rPr>
          <w:rFonts w:hint="eastAsia"/>
        </w:rPr>
        <w:t>上传</w:t>
      </w:r>
    </w:p>
    <w:p>
      <w:pPr>
        <w:pStyle w:val="3"/>
        <w:ind w:firstLine="360"/>
      </w:pPr>
      <w:r>
        <w:rPr>
          <w:rFonts w:hint="eastAsia"/>
        </w:rPr>
        <w:t>特别提醒：完成加密招标文件下载后，请下载新点投标制作软件进行招标文件内容预览和投标文件的制作。</w:t>
      </w:r>
    </w:p>
    <w:p>
      <w:pPr>
        <w:pStyle w:val="3"/>
        <w:ind w:firstLine="360"/>
      </w:pPr>
      <w:r>
        <w:rPr>
          <w:rFonts w:hint="eastAsia"/>
        </w:rPr>
        <w:t>上传投标文件之前，请先完成CA证书绑定操作。点击</w:t>
      </w:r>
    </w:p>
    <w:p>
      <w:pPr>
        <w:pStyle w:val="3"/>
        <w:ind w:firstLine="360"/>
      </w:pPr>
      <w:r>
        <w:drawing>
          <wp:inline distT="0" distB="0" distL="0" distR="0">
            <wp:extent cx="2330450" cy="1771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0570" cy="17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  <w:r>
        <w:drawing>
          <wp:inline distT="0" distB="0" distL="0" distR="0">
            <wp:extent cx="4944110" cy="2432050"/>
            <wp:effectExtent l="0" t="0" r="889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6657" cy="24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点击选择，左侧流程栏中的“证书</w:t>
      </w:r>
      <w:r>
        <w:t>key</w:t>
      </w:r>
      <w:r>
        <w:rPr>
          <w:rFonts w:hint="eastAsia"/>
        </w:rPr>
        <w:t>高级操作”，插上单位CA证书，点击“证书激活”按钮，进入绑定页面，如图：</w:t>
      </w:r>
    </w:p>
    <w:p>
      <w:pPr>
        <w:pStyle w:val="3"/>
        <w:ind w:firstLine="360"/>
      </w:pPr>
      <w:r>
        <w:rPr>
          <w:rFonts w:hint="eastAsia"/>
        </w:rPr>
        <w:t>1、点击读取证书按钮</w:t>
      </w:r>
      <w:r>
        <w:t xml:space="preserve"> </w:t>
      </w:r>
    </w:p>
    <w:p>
      <w:pPr>
        <w:pStyle w:val="3"/>
        <w:ind w:firstLine="360"/>
      </w:pPr>
      <w:r>
        <w:t>2、</w:t>
      </w:r>
      <w:r>
        <w:rPr>
          <w:rFonts w:hint="eastAsia"/>
        </w:rPr>
        <w:t>读取证书后，输入使用者姓名</w:t>
      </w:r>
    </w:p>
    <w:p>
      <w:pPr>
        <w:pStyle w:val="3"/>
        <w:ind w:firstLine="360"/>
      </w:pPr>
      <w:r>
        <w:t>3、</w:t>
      </w:r>
      <w:r>
        <w:rPr>
          <w:rFonts w:hint="eastAsia"/>
        </w:rPr>
        <w:t>勾选用户类型</w:t>
      </w:r>
    </w:p>
    <w:p>
      <w:pPr>
        <w:pStyle w:val="3"/>
        <w:ind w:firstLine="360"/>
      </w:pPr>
      <w:r>
        <w:t>4、</w:t>
      </w:r>
      <w:r>
        <w:rPr>
          <w:rFonts w:hint="eastAsia"/>
        </w:rPr>
        <w:t>点击“激活按钮”</w:t>
      </w:r>
    </w:p>
    <w:p>
      <w:pPr>
        <w:pStyle w:val="3"/>
        <w:ind w:firstLine="360"/>
      </w:pPr>
      <w:r>
        <w:t>5、</w:t>
      </w:r>
      <w:r>
        <w:rPr>
          <w:rFonts w:hint="eastAsia"/>
        </w:rPr>
        <w:t>在下方，证书信息中，可以看到已完成绑锁的记录</w:t>
      </w:r>
    </w:p>
    <w:p>
      <w:pPr>
        <w:pStyle w:val="3"/>
        <w:ind w:firstLine="360"/>
      </w:pPr>
      <w:r>
        <w:rPr>
          <w:rFonts w:hint="eastAsia"/>
        </w:rPr>
        <w:t>至此，绑锁流程已经完成！（完成绑锁后，不仅可以通过密码账号的方式，登陆系统，也可以通过CA证书来登陆系统登陆）。</w:t>
      </w:r>
    </w:p>
    <w:p>
      <w:pPr>
        <w:pStyle w:val="3"/>
        <w:ind w:firstLine="360"/>
      </w:pPr>
      <w:r>
        <w:drawing>
          <wp:inline distT="0" distB="0" distL="0" distR="0">
            <wp:extent cx="4963795" cy="2565400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6450" cy="25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15295589"/>
      <w:r>
        <w:rPr>
          <w:rFonts w:hint="eastAsia"/>
        </w:rPr>
        <w:t>3</w:t>
      </w:r>
      <w:r>
        <w:t>.1</w:t>
      </w:r>
      <w:r>
        <w:rPr>
          <w:rFonts w:hint="eastAsia"/>
        </w:rPr>
        <w:t>文件上传</w:t>
      </w:r>
      <w:bookmarkEnd w:id="13"/>
    </w:p>
    <w:p>
      <w:pPr>
        <w:pStyle w:val="3"/>
        <w:ind w:firstLine="360"/>
      </w:pPr>
      <w:r>
        <w:rPr>
          <w:rFonts w:hint="eastAsia"/>
        </w:rPr>
        <w:t>项目流程选择：上传投标文件</w:t>
      </w:r>
    </w:p>
    <w:p>
      <w:pPr>
        <w:pStyle w:val="3"/>
        <w:ind w:firstLine="360"/>
      </w:pPr>
      <w:r>
        <w:drawing>
          <wp:inline distT="0" distB="0" distL="0" distR="0">
            <wp:extent cx="4936490" cy="248221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19" cy="250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在文件上传页面，点击“上传投标文件”按钮，如图：</w:t>
      </w:r>
    </w:p>
    <w:p>
      <w:pPr>
        <w:pStyle w:val="3"/>
        <w:ind w:firstLine="360"/>
      </w:pPr>
      <w:r>
        <w:drawing>
          <wp:inline distT="0" distB="0" distL="0" distR="0">
            <wp:extent cx="5030470" cy="2546350"/>
            <wp:effectExtent l="0" t="0" r="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4906" cy="25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360"/>
      </w:pPr>
      <w:r>
        <w:rPr>
          <w:rFonts w:hint="eastAsia"/>
        </w:rPr>
        <w:t>点击“选择文件上传”按钮，将投标制作工具中生成的加密投标文件，上传到系统中。</w:t>
      </w:r>
    </w:p>
    <w:p>
      <w:pPr>
        <w:pStyle w:val="3"/>
        <w:ind w:firstLine="360"/>
      </w:pPr>
      <w:r>
        <w:drawing>
          <wp:inline distT="0" distB="0" distL="0" distR="0">
            <wp:extent cx="5019675" cy="2505710"/>
            <wp:effectExtent l="0" t="0" r="9525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1887" cy="25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p>
      <w:pPr>
        <w:pStyle w:val="4"/>
      </w:pPr>
      <w:bookmarkStart w:id="14" w:name="_Toc15295590"/>
      <w:r>
        <w:t>3.2</w:t>
      </w:r>
      <w:r>
        <w:rPr>
          <w:rFonts w:hint="eastAsia"/>
        </w:rPr>
        <w:t>模拟解密</w:t>
      </w:r>
      <w:bookmarkEnd w:id="14"/>
    </w:p>
    <w:p>
      <w:pPr>
        <w:pStyle w:val="3"/>
        <w:ind w:firstLine="360"/>
      </w:pPr>
      <w:r>
        <w:rPr>
          <w:rFonts w:hint="eastAsia"/>
        </w:rPr>
        <w:t>在文件上传完成后，可点击“模拟解密”按钮，进行解密测试（需插企业锁，即投标文件制作时，生成文件的加密锁），此环节为开标解密测试，如图：</w:t>
      </w:r>
    </w:p>
    <w:p>
      <w:pPr>
        <w:pStyle w:val="3"/>
        <w:ind w:firstLine="360"/>
      </w:pPr>
    </w:p>
    <w:p>
      <w:pPr>
        <w:pStyle w:val="3"/>
        <w:ind w:firstLine="360"/>
      </w:pPr>
      <w:r>
        <w:drawing>
          <wp:inline distT="0" distB="0" distL="0" distR="0">
            <wp:extent cx="4612005" cy="2655570"/>
            <wp:effectExtent l="0" t="0" r="0" b="0"/>
            <wp:docPr id="66" name="图片 66" descr="C:\Users\赞\Documents\Tencent Files\350168831\Image\Group\)VL0~1OF}UGY3)I`ZE_{7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赞\Documents\Tencent Files\350168831\Image\Group\)VL0~1OF}UGY3)I`ZE_{7H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497" cy="265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15295591"/>
      <w:r>
        <w:rPr>
          <w:rFonts w:hint="eastAsia"/>
        </w:rPr>
        <w:t>3.3投标文件撤回</w:t>
      </w:r>
      <w:bookmarkEnd w:id="15"/>
    </w:p>
    <w:p>
      <w:pPr>
        <w:pStyle w:val="3"/>
        <w:ind w:firstLine="360"/>
      </w:pPr>
      <w:r>
        <w:rPr>
          <w:rFonts w:hint="eastAsia"/>
        </w:rPr>
        <w:t>在上传投标文件后，如需执行文件撤回、重新上传操作。插入企业锁</w:t>
      </w:r>
      <w:r>
        <w:t>(</w:t>
      </w:r>
      <w:r>
        <w:rPr>
          <w:rFonts w:hint="eastAsia"/>
        </w:rPr>
        <w:t>制作投标文件时的加密锁</w:t>
      </w:r>
      <w:r>
        <w:t>)</w:t>
      </w:r>
      <w:r>
        <w:rPr>
          <w:rFonts w:hint="eastAsia"/>
        </w:rPr>
        <w:t>，点击“撤回文件”按钮，对文件进行撤回操作。</w:t>
      </w: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360"/>
      </w:pPr>
    </w:p>
    <w:p>
      <w:pPr>
        <w:pStyle w:val="3"/>
        <w:ind w:firstLine="360"/>
        <w:rPr>
          <w:color w:val="FF0000"/>
        </w:rPr>
      </w:pPr>
      <w:r>
        <w:rPr>
          <w:color w:val="FF0000"/>
        </w:rPr>
        <w:t>以下针对于施工标段</w:t>
      </w:r>
    </w:p>
    <w:p>
      <w:pPr>
        <w:pStyle w:val="2"/>
        <w:spacing w:line="276" w:lineRule="auto"/>
      </w:pPr>
      <w:bookmarkStart w:id="16" w:name="_Toc15295592"/>
      <w:r>
        <w:rPr>
          <w:rFonts w:hint="eastAsia"/>
        </w:rPr>
        <w:t>其他操作流程</w:t>
      </w:r>
      <w:bookmarkEnd w:id="16"/>
    </w:p>
    <w:p>
      <w:pPr>
        <w:pStyle w:val="4"/>
      </w:pPr>
      <w:bookmarkStart w:id="17" w:name="_Toc15295593"/>
      <w:r>
        <w:rPr>
          <w:rFonts w:hint="eastAsia"/>
        </w:rPr>
        <w:t>4.1控制价文件领取</w:t>
      </w:r>
      <w:bookmarkEnd w:id="17"/>
    </w:p>
    <w:p>
      <w:pPr>
        <w:pStyle w:val="3"/>
        <w:ind w:firstLine="360"/>
      </w:pPr>
      <w:r>
        <w:rPr>
          <w:rFonts w:hint="eastAsia"/>
        </w:rPr>
        <w:t>项目流程中，选择“控制价文件领取”按钮，流程同“领取招标文件”。</w:t>
      </w:r>
    </w:p>
    <w:p>
      <w:pPr>
        <w:pStyle w:val="3"/>
        <w:ind w:firstLine="360"/>
      </w:pPr>
      <w:r>
        <w:drawing>
          <wp:inline distT="0" distB="0" distL="0" distR="0">
            <wp:extent cx="5274310" cy="2452370"/>
            <wp:effectExtent l="0" t="0" r="254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</w:pPr>
      <w:bookmarkStart w:id="18" w:name="_Toc15295594"/>
      <w:r>
        <w:rPr>
          <w:rFonts w:hint="eastAsia"/>
        </w:rPr>
        <w:t>4.2结果通知书查看</w:t>
      </w:r>
      <w:bookmarkEnd w:id="18"/>
    </w:p>
    <w:p>
      <w:pPr>
        <w:pStyle w:val="3"/>
        <w:ind w:firstLine="360"/>
      </w:pPr>
      <w:r>
        <w:rPr>
          <w:rFonts w:hint="eastAsia"/>
        </w:rPr>
        <w:t>项目流程中，点击“结果通知书查看”按钮。</w:t>
      </w:r>
    </w:p>
    <w:p>
      <w:pPr>
        <w:pStyle w:val="3"/>
        <w:ind w:firstLine="360"/>
      </w:pPr>
      <w:r>
        <w:drawing>
          <wp:inline distT="0" distB="0" distL="0" distR="0">
            <wp:extent cx="5274310" cy="2228215"/>
            <wp:effectExtent l="0" t="0" r="254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rPr>
          <w:rFonts w:hint="default"/>
          <w:lang w:val="en-US" w:eastAsia="zh-CN"/>
        </w:rPr>
      </w:pPr>
      <w:r>
        <w:rPr>
          <w:rFonts w:hint="eastAsia"/>
        </w:rPr>
        <w:t>4.</w:t>
      </w:r>
      <w:r>
        <w:rPr>
          <w:rFonts w:hint="eastAsia"/>
          <w:lang w:val="en-US" w:eastAsia="zh-CN"/>
        </w:rPr>
        <w:t>3施工销号【只有住建项目需要走，交通、水利项目</w:t>
      </w:r>
      <w:bookmarkStart w:id="19" w:name="_GoBack"/>
      <w:bookmarkEnd w:id="19"/>
      <w:r>
        <w:rPr>
          <w:rFonts w:hint="eastAsia"/>
          <w:lang w:val="en-US" w:eastAsia="zh-CN"/>
        </w:rPr>
        <w:t>不需要走】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如果是中标单位，请在“中标项目”模块中找到该项目，电子项目流程，进去后有施工销号申请按钮【</w:t>
      </w:r>
      <w:r>
        <w:rPr>
          <w:rFonts w:hint="eastAsia"/>
          <w:color w:val="FF0000"/>
          <w:lang w:val="en-US" w:eastAsia="zh-CN"/>
        </w:rPr>
        <w:t>如果没有此按钮，请联系招标代理，招标代理需要将中标结果通知书走完，该按钮会自动出来</w:t>
      </w:r>
      <w:r>
        <w:rPr>
          <w:rFonts w:hint="eastAsia"/>
          <w:lang w:val="en-US" w:eastAsia="zh-CN"/>
        </w:rPr>
        <w:t>】，施工销号流程发起后需要各县市招标办初步审核，审核完成后有州住建局执法三大队复审</w:t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71135" cy="2326005"/>
            <wp:effectExtent l="0" t="0" r="5715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</w:pPr>
      <w:r>
        <w:drawing>
          <wp:inline distT="0" distB="0" distL="114300" distR="114300">
            <wp:extent cx="5269230" cy="2264410"/>
            <wp:effectExtent l="0" t="0" r="7620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264410"/>
            <wp:effectExtent l="0" t="0" r="762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360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pacing w:line="320" w:lineRule="atLeast"/>
      <w:jc w:val="left"/>
      <w:textAlignment w:val="baseline"/>
      <w:rPr>
        <w:rFonts w:ascii="宋体" w:hAnsi="宋体" w:cs="宋体"/>
        <w:color w:val="000000"/>
        <w:kern w:val="0"/>
        <w:sz w:val="18"/>
        <w:szCs w:val="18"/>
      </w:rPr>
    </w:pPr>
    <w:r>
      <w:rPr>
        <w:rFonts w:ascii="宋体" w:hAnsi="宋体" w:cs="宋体"/>
        <w:color w:val="000000"/>
        <w:kern w:val="0"/>
        <w:sz w:val="18"/>
        <w:szCs w:val="18"/>
      </w:rPr>
      <w:pict>
        <v:rect id="_x0000_i1025" o:spt="1" style="height:3pt;width:415.3pt;" fillcolor="#70AD47" filled="t" stroked="f" coordsize="21600,21600" o:hr="t" o:hrstd="t" o:hrnoshade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  <w:p>
    <w:pPr>
      <w:widowControl/>
      <w:spacing w:line="320" w:lineRule="atLeast"/>
      <w:jc w:val="left"/>
      <w:textAlignment w:val="baseline"/>
      <w:rPr>
        <w:rFonts w:asciiTheme="minorEastAsia" w:hAnsiTheme="minorEastAsia" w:eastAsiaTheme="minorEastAsia"/>
        <w:sz w:val="18"/>
        <w:szCs w:val="18"/>
      </w:rPr>
    </w:pPr>
    <w:r>
      <w:rPr>
        <w:rFonts w:hint="eastAsia" w:cs="宋体" w:asciiTheme="minorEastAsia" w:hAnsiTheme="minorEastAsia" w:eastAsiaTheme="minorEastAsia"/>
        <w:color w:val="000000"/>
        <w:kern w:val="0"/>
        <w:sz w:val="18"/>
        <w:szCs w:val="18"/>
      </w:rPr>
      <w:t xml:space="preserve">国泰新点软件股份有限公司 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>400</w:t>
    </w:r>
    <w:r>
      <w:rPr>
        <w:rFonts w:hint="eastAsia" w:cs="宋体" w:asciiTheme="minorEastAsia" w:hAnsiTheme="minorEastAsia" w:eastAsiaTheme="minorEastAsia"/>
        <w:color w:val="000000"/>
        <w:kern w:val="0"/>
        <w:sz w:val="18"/>
        <w:szCs w:val="18"/>
      </w:rPr>
      <w:t>-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>998</w:t>
    </w:r>
    <w:r>
      <w:rPr>
        <w:rFonts w:hint="eastAsia" w:cs="宋体" w:asciiTheme="minorEastAsia" w:hAnsiTheme="minorEastAsia" w:eastAsiaTheme="minorEastAsia"/>
        <w:color w:val="000000"/>
        <w:kern w:val="0"/>
        <w:sz w:val="18"/>
        <w:szCs w:val="18"/>
      </w:rPr>
      <w:t>-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>0000</w:t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r>
      <w:rPr>
        <w:rFonts w:cs="宋体" w:asciiTheme="minorEastAsia" w:hAnsiTheme="minorEastAsia" w:eastAsiaTheme="minorEastAsia"/>
        <w:color w:val="000000"/>
        <w:kern w:val="0"/>
        <w:sz w:val="18"/>
        <w:szCs w:val="18"/>
      </w:rPr>
      <w:tab/>
    </w:r>
    <w:sdt>
      <w:sdtPr>
        <w:rPr>
          <w:rFonts w:asciiTheme="minorEastAsia" w:hAnsiTheme="minorEastAsia" w:eastAsiaTheme="minorEastAsia"/>
          <w:sz w:val="18"/>
          <w:szCs w:val="18"/>
        </w:rPr>
        <w:id w:val="843435250"/>
        <w:docPartObj>
          <w:docPartGallery w:val="autotext"/>
        </w:docPartObj>
      </w:sdtPr>
      <w:sdtEndPr>
        <w:rPr>
          <w:rFonts w:asciiTheme="minorEastAsia" w:hAnsiTheme="minorEastAsia" w:eastAsiaTheme="minorEastAsia"/>
          <w:sz w:val="18"/>
          <w:szCs w:val="18"/>
        </w:rPr>
      </w:sdtEndPr>
      <w:sdtContent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tab/>
        </w:r>
        <w:r>
          <w:rPr>
            <w:rFonts w:asciiTheme="minorEastAsia" w:hAnsiTheme="minorEastAsia" w:eastAsiaTheme="minorEastAsia"/>
            <w:sz w:val="18"/>
            <w:szCs w:val="18"/>
          </w:rPr>
          <w:fldChar w:fldCharType="begin"/>
        </w:r>
        <w:r>
          <w:rPr>
            <w:rFonts w:asciiTheme="minorEastAsia" w:hAnsiTheme="minorEastAsia" w:eastAsiaTheme="minorEastAsia"/>
            <w:sz w:val="18"/>
            <w:szCs w:val="1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18"/>
            <w:szCs w:val="18"/>
          </w:rPr>
          <w:fldChar w:fldCharType="separate"/>
        </w:r>
        <w:r>
          <w:rPr>
            <w:rFonts w:asciiTheme="minorEastAsia" w:hAnsiTheme="minorEastAsia" w:eastAsiaTheme="minorEastAsia"/>
            <w:sz w:val="18"/>
            <w:szCs w:val="18"/>
            <w:lang w:val="zh-CN"/>
          </w:rPr>
          <w:t>10</w:t>
        </w:r>
        <w:r>
          <w:rPr>
            <w:rFonts w:asciiTheme="minorEastAsia" w:hAnsiTheme="minorEastAsia" w:eastAsiaTheme="minorEastAsia"/>
            <w:sz w:val="18"/>
            <w:szCs w:val="18"/>
          </w:rPr>
          <w:fldChar w:fldCharType="end"/>
        </w:r>
      </w:sdtContent>
    </w:sdt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pacing w:line="320" w:lineRule="atLeast"/>
      <w:jc w:val="left"/>
      <w:textAlignment w:val="baseline"/>
      <w:rPr>
        <w:rFonts w:ascii="微软雅黑" w:hAnsi="微软雅黑" w:eastAsia="微软雅黑" w:cs="宋体"/>
        <w:color w:val="000000"/>
        <w:kern w:val="0"/>
        <w:sz w:val="24"/>
      </w:rPr>
    </w:pPr>
    <w:r>
      <w:rPr>
        <w:rFonts w:ascii="MS Gothic" w:hAnsi="MS Gothic" w:eastAsia="微软雅黑" w:cs="MS Gothic"/>
        <w:color w:val="000000"/>
        <w:kern w:val="0"/>
        <w:sz w:val="24"/>
      </w:rPr>
      <w:t>​​</w:t>
    </w:r>
  </w:p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rPr>
        <w:rFonts w:ascii="Calibri Light" w:hAnsi="Calibri Light"/>
        <w:sz w:val="18"/>
        <w:szCs w:val="18"/>
      </w:rPr>
    </w:pPr>
    <w:r>
      <w:rPr>
        <w:rFonts w:ascii="微软雅黑" w:hAnsi="微软雅黑" w:eastAsia="微软雅黑" w:cs="宋体"/>
        <w:color w:val="000000"/>
        <w:kern w:val="0"/>
        <w:sz w:val="24"/>
      </w:rPr>
      <w:drawing>
        <wp:inline distT="0" distB="0" distL="0" distR="0">
          <wp:extent cx="467995" cy="167005"/>
          <wp:effectExtent l="0" t="0" r="8255" b="4445"/>
          <wp:docPr id="29" name="图片 29" descr="https://qqadapt.qpic.cn/txdocpic/0/b3d8d859b724efd77d1b7fe28a19393d/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https://qqadapt.qpic.cn/txdocpic/0/b3d8d859b724efd77d1b7fe28a19393d/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2320" cy="183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 Light" w:hAnsi="Calibri Light"/>
        <w:sz w:val="18"/>
        <w:szCs w:val="18"/>
      </w:rPr>
      <w:tab/>
    </w:r>
    <w:r>
      <w:rPr>
        <w:rFonts w:hint="eastAsia" w:ascii="Calibri Light" w:hAnsi="Calibri Light"/>
        <w:sz w:val="18"/>
        <w:szCs w:val="18"/>
      </w:rPr>
      <w:t>昌吉州公共资源交易平台基本信息库入库操作手册V1.</w:t>
    </w:r>
    <w:r>
      <w:rPr>
        <w:rFonts w:ascii="Calibri Light" w:hAnsi="Calibri Light"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</w:lvl>
    <w:lvl w:ilvl="1" w:tentative="0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isLgl/>
      <w:lvlText w:val="%1.%2.%3.%4."/>
      <w:lvlJc w:val="left"/>
      <w:pPr>
        <w:tabs>
          <w:tab w:val="left" w:pos="851"/>
        </w:tabs>
        <w:snapToGrid w:val="0"/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F1"/>
    <w:rsid w:val="0000598E"/>
    <w:rsid w:val="000061EC"/>
    <w:rsid w:val="00015509"/>
    <w:rsid w:val="0002032D"/>
    <w:rsid w:val="00021945"/>
    <w:rsid w:val="00024D73"/>
    <w:rsid w:val="000309D5"/>
    <w:rsid w:val="00032FAE"/>
    <w:rsid w:val="00060AB9"/>
    <w:rsid w:val="00067158"/>
    <w:rsid w:val="0007540A"/>
    <w:rsid w:val="000922F3"/>
    <w:rsid w:val="0009289C"/>
    <w:rsid w:val="00096770"/>
    <w:rsid w:val="000B2F1E"/>
    <w:rsid w:val="000B76FD"/>
    <w:rsid w:val="000C059B"/>
    <w:rsid w:val="000C3996"/>
    <w:rsid w:val="000C68CF"/>
    <w:rsid w:val="000D161A"/>
    <w:rsid w:val="000D2F02"/>
    <w:rsid w:val="000D6C01"/>
    <w:rsid w:val="000E408D"/>
    <w:rsid w:val="000E5437"/>
    <w:rsid w:val="000E587C"/>
    <w:rsid w:val="000F0ED5"/>
    <w:rsid w:val="000F1820"/>
    <w:rsid w:val="000F6293"/>
    <w:rsid w:val="00100B49"/>
    <w:rsid w:val="00101856"/>
    <w:rsid w:val="00105EA2"/>
    <w:rsid w:val="00106CC6"/>
    <w:rsid w:val="00110780"/>
    <w:rsid w:val="00114FE1"/>
    <w:rsid w:val="00121B88"/>
    <w:rsid w:val="001223F9"/>
    <w:rsid w:val="00130CAD"/>
    <w:rsid w:val="00131393"/>
    <w:rsid w:val="00132338"/>
    <w:rsid w:val="0013424D"/>
    <w:rsid w:val="00136F23"/>
    <w:rsid w:val="0014385A"/>
    <w:rsid w:val="0015029F"/>
    <w:rsid w:val="00150A0A"/>
    <w:rsid w:val="00154A1D"/>
    <w:rsid w:val="001618E9"/>
    <w:rsid w:val="001649B8"/>
    <w:rsid w:val="00172A04"/>
    <w:rsid w:val="00176D07"/>
    <w:rsid w:val="00180259"/>
    <w:rsid w:val="0018078F"/>
    <w:rsid w:val="0018502A"/>
    <w:rsid w:val="00185314"/>
    <w:rsid w:val="00192128"/>
    <w:rsid w:val="001A295E"/>
    <w:rsid w:val="001B1F40"/>
    <w:rsid w:val="001B644D"/>
    <w:rsid w:val="001C016B"/>
    <w:rsid w:val="001D2DBD"/>
    <w:rsid w:val="001D4D2C"/>
    <w:rsid w:val="001E23A0"/>
    <w:rsid w:val="001E2843"/>
    <w:rsid w:val="00201426"/>
    <w:rsid w:val="00220F33"/>
    <w:rsid w:val="002253B3"/>
    <w:rsid w:val="00237917"/>
    <w:rsid w:val="0024208F"/>
    <w:rsid w:val="00245756"/>
    <w:rsid w:val="0025306A"/>
    <w:rsid w:val="002564F3"/>
    <w:rsid w:val="00257E5E"/>
    <w:rsid w:val="00265571"/>
    <w:rsid w:val="002676D2"/>
    <w:rsid w:val="00271C43"/>
    <w:rsid w:val="002727C0"/>
    <w:rsid w:val="002A4271"/>
    <w:rsid w:val="002B5355"/>
    <w:rsid w:val="002B6350"/>
    <w:rsid w:val="002C0BE1"/>
    <w:rsid w:val="002C5BCA"/>
    <w:rsid w:val="002D711F"/>
    <w:rsid w:val="002E31FF"/>
    <w:rsid w:val="002E322B"/>
    <w:rsid w:val="002E5140"/>
    <w:rsid w:val="002F358A"/>
    <w:rsid w:val="002F3679"/>
    <w:rsid w:val="002F5D01"/>
    <w:rsid w:val="00300B7F"/>
    <w:rsid w:val="0030367E"/>
    <w:rsid w:val="0031345A"/>
    <w:rsid w:val="00346601"/>
    <w:rsid w:val="00351DC2"/>
    <w:rsid w:val="00356EF1"/>
    <w:rsid w:val="00360F0C"/>
    <w:rsid w:val="003644C4"/>
    <w:rsid w:val="0037209A"/>
    <w:rsid w:val="00383004"/>
    <w:rsid w:val="0038647E"/>
    <w:rsid w:val="00391312"/>
    <w:rsid w:val="003A10E9"/>
    <w:rsid w:val="003A4090"/>
    <w:rsid w:val="003A7952"/>
    <w:rsid w:val="003B5554"/>
    <w:rsid w:val="003B583B"/>
    <w:rsid w:val="003C020A"/>
    <w:rsid w:val="003C343B"/>
    <w:rsid w:val="003E094C"/>
    <w:rsid w:val="003E1A81"/>
    <w:rsid w:val="003E3989"/>
    <w:rsid w:val="00401916"/>
    <w:rsid w:val="00413156"/>
    <w:rsid w:val="00417672"/>
    <w:rsid w:val="00417CA4"/>
    <w:rsid w:val="0042055B"/>
    <w:rsid w:val="004238A6"/>
    <w:rsid w:val="00433219"/>
    <w:rsid w:val="004439E9"/>
    <w:rsid w:val="00446F93"/>
    <w:rsid w:val="00453F33"/>
    <w:rsid w:val="0045503F"/>
    <w:rsid w:val="00456C35"/>
    <w:rsid w:val="0045713B"/>
    <w:rsid w:val="00460ADA"/>
    <w:rsid w:val="00474C4B"/>
    <w:rsid w:val="0048085C"/>
    <w:rsid w:val="00483342"/>
    <w:rsid w:val="0048633D"/>
    <w:rsid w:val="004A5276"/>
    <w:rsid w:val="004A62F4"/>
    <w:rsid w:val="004A7555"/>
    <w:rsid w:val="004A7767"/>
    <w:rsid w:val="004B0220"/>
    <w:rsid w:val="004B3953"/>
    <w:rsid w:val="004B43B0"/>
    <w:rsid w:val="004C0C2B"/>
    <w:rsid w:val="004C2A01"/>
    <w:rsid w:val="004C5ABE"/>
    <w:rsid w:val="004D2421"/>
    <w:rsid w:val="004D5843"/>
    <w:rsid w:val="004D5F7A"/>
    <w:rsid w:val="004E1F50"/>
    <w:rsid w:val="004E26F5"/>
    <w:rsid w:val="004E3AD6"/>
    <w:rsid w:val="004E566A"/>
    <w:rsid w:val="004E66B2"/>
    <w:rsid w:val="004E7F4C"/>
    <w:rsid w:val="004F15D7"/>
    <w:rsid w:val="004F2C87"/>
    <w:rsid w:val="004F4F12"/>
    <w:rsid w:val="0050237D"/>
    <w:rsid w:val="0050412E"/>
    <w:rsid w:val="005072FA"/>
    <w:rsid w:val="0051073B"/>
    <w:rsid w:val="00511B78"/>
    <w:rsid w:val="00511E95"/>
    <w:rsid w:val="00525EC2"/>
    <w:rsid w:val="005521CB"/>
    <w:rsid w:val="0055709D"/>
    <w:rsid w:val="00570313"/>
    <w:rsid w:val="005708ED"/>
    <w:rsid w:val="00576DFA"/>
    <w:rsid w:val="00583112"/>
    <w:rsid w:val="0059236B"/>
    <w:rsid w:val="00593C96"/>
    <w:rsid w:val="005961A2"/>
    <w:rsid w:val="005A3140"/>
    <w:rsid w:val="005A3F3C"/>
    <w:rsid w:val="005A6F25"/>
    <w:rsid w:val="005B425E"/>
    <w:rsid w:val="005D1165"/>
    <w:rsid w:val="005D28E4"/>
    <w:rsid w:val="005D5F49"/>
    <w:rsid w:val="005E30D9"/>
    <w:rsid w:val="005E6477"/>
    <w:rsid w:val="005F782D"/>
    <w:rsid w:val="006005A7"/>
    <w:rsid w:val="00601AB4"/>
    <w:rsid w:val="006029B6"/>
    <w:rsid w:val="0062457E"/>
    <w:rsid w:val="0062539E"/>
    <w:rsid w:val="00625FE1"/>
    <w:rsid w:val="00630785"/>
    <w:rsid w:val="006330A1"/>
    <w:rsid w:val="00635ACC"/>
    <w:rsid w:val="006371EE"/>
    <w:rsid w:val="0064239E"/>
    <w:rsid w:val="0065357B"/>
    <w:rsid w:val="006540B2"/>
    <w:rsid w:val="006558D3"/>
    <w:rsid w:val="00661F13"/>
    <w:rsid w:val="00663154"/>
    <w:rsid w:val="006713BA"/>
    <w:rsid w:val="00672905"/>
    <w:rsid w:val="00673294"/>
    <w:rsid w:val="00680533"/>
    <w:rsid w:val="0069336A"/>
    <w:rsid w:val="006937DC"/>
    <w:rsid w:val="00694F28"/>
    <w:rsid w:val="006965E1"/>
    <w:rsid w:val="006B00DA"/>
    <w:rsid w:val="006B6268"/>
    <w:rsid w:val="006B7528"/>
    <w:rsid w:val="006C3015"/>
    <w:rsid w:val="006D363F"/>
    <w:rsid w:val="006D434A"/>
    <w:rsid w:val="006E04D5"/>
    <w:rsid w:val="006E1370"/>
    <w:rsid w:val="006F632C"/>
    <w:rsid w:val="007046D0"/>
    <w:rsid w:val="00712326"/>
    <w:rsid w:val="00722846"/>
    <w:rsid w:val="00723163"/>
    <w:rsid w:val="007263AF"/>
    <w:rsid w:val="00726D39"/>
    <w:rsid w:val="007362F1"/>
    <w:rsid w:val="00741383"/>
    <w:rsid w:val="00747E87"/>
    <w:rsid w:val="00754F05"/>
    <w:rsid w:val="0075501F"/>
    <w:rsid w:val="00764056"/>
    <w:rsid w:val="00764B3A"/>
    <w:rsid w:val="007809C1"/>
    <w:rsid w:val="00782686"/>
    <w:rsid w:val="00787531"/>
    <w:rsid w:val="00791792"/>
    <w:rsid w:val="0079355B"/>
    <w:rsid w:val="007A5EC6"/>
    <w:rsid w:val="007A5F41"/>
    <w:rsid w:val="007B37A7"/>
    <w:rsid w:val="007B3CC6"/>
    <w:rsid w:val="007C1247"/>
    <w:rsid w:val="007C15A4"/>
    <w:rsid w:val="007E2061"/>
    <w:rsid w:val="007E44CA"/>
    <w:rsid w:val="007E641A"/>
    <w:rsid w:val="007F0EFB"/>
    <w:rsid w:val="007F466F"/>
    <w:rsid w:val="008040C6"/>
    <w:rsid w:val="00806859"/>
    <w:rsid w:val="0081373C"/>
    <w:rsid w:val="00825F60"/>
    <w:rsid w:val="00827DF1"/>
    <w:rsid w:val="00841D00"/>
    <w:rsid w:val="00842755"/>
    <w:rsid w:val="00850250"/>
    <w:rsid w:val="00851AAF"/>
    <w:rsid w:val="00853F5C"/>
    <w:rsid w:val="00873677"/>
    <w:rsid w:val="0088141A"/>
    <w:rsid w:val="00881F6D"/>
    <w:rsid w:val="00885159"/>
    <w:rsid w:val="00885796"/>
    <w:rsid w:val="00893771"/>
    <w:rsid w:val="008A7D4E"/>
    <w:rsid w:val="008C5E55"/>
    <w:rsid w:val="008D017C"/>
    <w:rsid w:val="008D01BF"/>
    <w:rsid w:val="008D07A1"/>
    <w:rsid w:val="008D6FA4"/>
    <w:rsid w:val="008E2F74"/>
    <w:rsid w:val="008E6208"/>
    <w:rsid w:val="00902817"/>
    <w:rsid w:val="00904E61"/>
    <w:rsid w:val="00905E5A"/>
    <w:rsid w:val="00906D7E"/>
    <w:rsid w:val="00920623"/>
    <w:rsid w:val="0092488D"/>
    <w:rsid w:val="00937A6C"/>
    <w:rsid w:val="00950A2A"/>
    <w:rsid w:val="00952055"/>
    <w:rsid w:val="00953838"/>
    <w:rsid w:val="0096539D"/>
    <w:rsid w:val="00967FD0"/>
    <w:rsid w:val="009720CE"/>
    <w:rsid w:val="00973E64"/>
    <w:rsid w:val="00990586"/>
    <w:rsid w:val="0099130F"/>
    <w:rsid w:val="00995053"/>
    <w:rsid w:val="009A247B"/>
    <w:rsid w:val="009A5A3A"/>
    <w:rsid w:val="009B68E7"/>
    <w:rsid w:val="009B773A"/>
    <w:rsid w:val="009C17E4"/>
    <w:rsid w:val="009C23B4"/>
    <w:rsid w:val="009C26EE"/>
    <w:rsid w:val="009C2E24"/>
    <w:rsid w:val="009C4DA5"/>
    <w:rsid w:val="009E0FAD"/>
    <w:rsid w:val="009E5FA7"/>
    <w:rsid w:val="009F6E23"/>
    <w:rsid w:val="009F72C5"/>
    <w:rsid w:val="00A27651"/>
    <w:rsid w:val="00A37B4B"/>
    <w:rsid w:val="00A46786"/>
    <w:rsid w:val="00A510FE"/>
    <w:rsid w:val="00A62384"/>
    <w:rsid w:val="00A64847"/>
    <w:rsid w:val="00A70B2C"/>
    <w:rsid w:val="00A837F4"/>
    <w:rsid w:val="00A85A4E"/>
    <w:rsid w:val="00A85A92"/>
    <w:rsid w:val="00A9596C"/>
    <w:rsid w:val="00AB45BD"/>
    <w:rsid w:val="00AC2BF9"/>
    <w:rsid w:val="00AD78BC"/>
    <w:rsid w:val="00AE1AF9"/>
    <w:rsid w:val="00AE321B"/>
    <w:rsid w:val="00AF0489"/>
    <w:rsid w:val="00AF1306"/>
    <w:rsid w:val="00AF4A05"/>
    <w:rsid w:val="00B14B34"/>
    <w:rsid w:val="00B26A30"/>
    <w:rsid w:val="00B27998"/>
    <w:rsid w:val="00B27F50"/>
    <w:rsid w:val="00B31E24"/>
    <w:rsid w:val="00B47D43"/>
    <w:rsid w:val="00B47E84"/>
    <w:rsid w:val="00B53169"/>
    <w:rsid w:val="00B53671"/>
    <w:rsid w:val="00B5370F"/>
    <w:rsid w:val="00B64F38"/>
    <w:rsid w:val="00B70135"/>
    <w:rsid w:val="00B7284F"/>
    <w:rsid w:val="00B728F4"/>
    <w:rsid w:val="00B73A9F"/>
    <w:rsid w:val="00B866F8"/>
    <w:rsid w:val="00B92FEB"/>
    <w:rsid w:val="00B96746"/>
    <w:rsid w:val="00BB4C2A"/>
    <w:rsid w:val="00BB5253"/>
    <w:rsid w:val="00BC003E"/>
    <w:rsid w:val="00BC3EA4"/>
    <w:rsid w:val="00BD4C8D"/>
    <w:rsid w:val="00BE2057"/>
    <w:rsid w:val="00BE6B08"/>
    <w:rsid w:val="00BE7EE6"/>
    <w:rsid w:val="00BF1800"/>
    <w:rsid w:val="00BF6EE3"/>
    <w:rsid w:val="00C0376D"/>
    <w:rsid w:val="00C11A6A"/>
    <w:rsid w:val="00C16D13"/>
    <w:rsid w:val="00C16FCB"/>
    <w:rsid w:val="00C367FE"/>
    <w:rsid w:val="00C42683"/>
    <w:rsid w:val="00C52D24"/>
    <w:rsid w:val="00C574CE"/>
    <w:rsid w:val="00C6163A"/>
    <w:rsid w:val="00C61823"/>
    <w:rsid w:val="00C85970"/>
    <w:rsid w:val="00C861A4"/>
    <w:rsid w:val="00C86748"/>
    <w:rsid w:val="00C96448"/>
    <w:rsid w:val="00CA2E8E"/>
    <w:rsid w:val="00CB3430"/>
    <w:rsid w:val="00CB5D3B"/>
    <w:rsid w:val="00CD4195"/>
    <w:rsid w:val="00CD5230"/>
    <w:rsid w:val="00CD5B06"/>
    <w:rsid w:val="00CE1741"/>
    <w:rsid w:val="00CE2B1E"/>
    <w:rsid w:val="00CF059A"/>
    <w:rsid w:val="00D029C7"/>
    <w:rsid w:val="00D02BBF"/>
    <w:rsid w:val="00D02F37"/>
    <w:rsid w:val="00D032A0"/>
    <w:rsid w:val="00D118EB"/>
    <w:rsid w:val="00D11C34"/>
    <w:rsid w:val="00D14D43"/>
    <w:rsid w:val="00D16D8C"/>
    <w:rsid w:val="00D22467"/>
    <w:rsid w:val="00D44E7E"/>
    <w:rsid w:val="00D50C8B"/>
    <w:rsid w:val="00D5471B"/>
    <w:rsid w:val="00D67845"/>
    <w:rsid w:val="00D75178"/>
    <w:rsid w:val="00D76804"/>
    <w:rsid w:val="00D8239D"/>
    <w:rsid w:val="00D84C30"/>
    <w:rsid w:val="00D97CE6"/>
    <w:rsid w:val="00DC40A4"/>
    <w:rsid w:val="00DD5523"/>
    <w:rsid w:val="00DE304F"/>
    <w:rsid w:val="00DE4CBA"/>
    <w:rsid w:val="00E047A0"/>
    <w:rsid w:val="00E07372"/>
    <w:rsid w:val="00E07FDF"/>
    <w:rsid w:val="00E1083E"/>
    <w:rsid w:val="00E1232A"/>
    <w:rsid w:val="00E2446B"/>
    <w:rsid w:val="00E262F9"/>
    <w:rsid w:val="00E27853"/>
    <w:rsid w:val="00E42B57"/>
    <w:rsid w:val="00E43B39"/>
    <w:rsid w:val="00E44C15"/>
    <w:rsid w:val="00E517DE"/>
    <w:rsid w:val="00E51A3E"/>
    <w:rsid w:val="00E65EE0"/>
    <w:rsid w:val="00E7308B"/>
    <w:rsid w:val="00E75FCB"/>
    <w:rsid w:val="00E77991"/>
    <w:rsid w:val="00E83092"/>
    <w:rsid w:val="00EA4C08"/>
    <w:rsid w:val="00EA556E"/>
    <w:rsid w:val="00EB4696"/>
    <w:rsid w:val="00EB709A"/>
    <w:rsid w:val="00EC1CF1"/>
    <w:rsid w:val="00EC7D09"/>
    <w:rsid w:val="00ED1ADF"/>
    <w:rsid w:val="00ED2707"/>
    <w:rsid w:val="00ED3CD9"/>
    <w:rsid w:val="00ED45BC"/>
    <w:rsid w:val="00EE3ED3"/>
    <w:rsid w:val="00EE5701"/>
    <w:rsid w:val="00EF118A"/>
    <w:rsid w:val="00EF2718"/>
    <w:rsid w:val="00EF2BAF"/>
    <w:rsid w:val="00EF47DD"/>
    <w:rsid w:val="00EF6777"/>
    <w:rsid w:val="00F00642"/>
    <w:rsid w:val="00F116FB"/>
    <w:rsid w:val="00F1690F"/>
    <w:rsid w:val="00F17683"/>
    <w:rsid w:val="00F200B6"/>
    <w:rsid w:val="00F2794D"/>
    <w:rsid w:val="00F464AA"/>
    <w:rsid w:val="00F5082C"/>
    <w:rsid w:val="00F5448C"/>
    <w:rsid w:val="00F764DD"/>
    <w:rsid w:val="00F87C22"/>
    <w:rsid w:val="00F92F5E"/>
    <w:rsid w:val="00FA1289"/>
    <w:rsid w:val="00FA463A"/>
    <w:rsid w:val="00FA7B48"/>
    <w:rsid w:val="00FB25DA"/>
    <w:rsid w:val="00FB5A7C"/>
    <w:rsid w:val="00FC24FA"/>
    <w:rsid w:val="00FC3BB2"/>
    <w:rsid w:val="00FD14EC"/>
    <w:rsid w:val="00FD5F1C"/>
    <w:rsid w:val="00FE0436"/>
    <w:rsid w:val="00FE4A66"/>
    <w:rsid w:val="00FF0983"/>
    <w:rsid w:val="00FF4A4E"/>
    <w:rsid w:val="2E4D19C9"/>
    <w:rsid w:val="6E914FA4"/>
    <w:rsid w:val="7849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keepLines/>
      <w:numPr>
        <w:ilvl w:val="0"/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4">
    <w:name w:val="heading 2"/>
    <w:basedOn w:val="1"/>
    <w:next w:val="3"/>
    <w:link w:val="21"/>
    <w:unhideWhenUsed/>
    <w:qFormat/>
    <w:uiPriority w:val="0"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2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4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styleId="7">
    <w:name w:val="annotation text"/>
    <w:basedOn w:val="1"/>
    <w:link w:val="30"/>
    <w:semiHidden/>
    <w:unhideWhenUsed/>
    <w:uiPriority w:val="99"/>
    <w:pPr>
      <w:jc w:val="left"/>
    </w:p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Balloon Text"/>
    <w:basedOn w:val="1"/>
    <w:link w:val="32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  <w:pPr>
      <w:tabs>
        <w:tab w:val="left" w:pos="420"/>
        <w:tab w:val="right" w:leader="dot" w:pos="8296"/>
      </w:tabs>
    </w:pPr>
  </w:style>
  <w:style w:type="paragraph" w:styleId="13">
    <w:name w:val="toc 4"/>
    <w:basedOn w:val="1"/>
    <w:next w:val="1"/>
    <w:unhideWhenUsed/>
    <w:uiPriority w:val="39"/>
    <w:pPr>
      <w:tabs>
        <w:tab w:val="left" w:pos="1845"/>
        <w:tab w:val="right" w:leader="dot" w:pos="8296"/>
      </w:tabs>
      <w:ind w:left="1260" w:leftChars="600"/>
    </w:pPr>
  </w:style>
  <w:style w:type="paragraph" w:styleId="14">
    <w:name w:val="toc 2"/>
    <w:basedOn w:val="1"/>
    <w:next w:val="1"/>
    <w:unhideWhenUsed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15">
    <w:name w:val="annotation subject"/>
    <w:basedOn w:val="7"/>
    <w:next w:val="7"/>
    <w:link w:val="31"/>
    <w:semiHidden/>
    <w:unhideWhenUsed/>
    <w:uiPriority w:val="99"/>
    <w:rPr>
      <w:b/>
      <w:bCs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styleId="19">
    <w:name w:val="annotation reference"/>
    <w:basedOn w:val="17"/>
    <w:semiHidden/>
    <w:unhideWhenUsed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qFormat/>
    <w:uiPriority w:val="0"/>
    <w:rPr>
      <w:rFonts w:ascii="Times New Roman" w:hAnsi="Times New Roman" w:eastAsia="宋体" w:cs="Times New Roman"/>
      <w:b/>
      <w:bCs/>
      <w:kern w:val="44"/>
      <w:sz w:val="36"/>
      <w:szCs w:val="28"/>
    </w:rPr>
  </w:style>
  <w:style w:type="character" w:customStyle="1" w:styleId="21">
    <w:name w:val="标题 2 Char"/>
    <w:basedOn w:val="17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2">
    <w:name w:val="标题 3 Char"/>
    <w:basedOn w:val="17"/>
    <w:link w:val="5"/>
    <w:uiPriority w:val="9"/>
    <w:rPr>
      <w:rFonts w:ascii="Times New Roman" w:hAnsi="Times New Roman" w:eastAsia="宋体" w:cs="Times New Roman"/>
      <w:b/>
      <w:sz w:val="32"/>
      <w:szCs w:val="24"/>
    </w:rPr>
  </w:style>
  <w:style w:type="character" w:customStyle="1" w:styleId="23">
    <w:name w:val="标题 4 Char"/>
    <w:basedOn w:val="17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5">
    <w:name w:val="GP正文(首行缩进)"/>
    <w:basedOn w:val="1"/>
    <w:qFormat/>
    <w:uiPriority w:val="0"/>
    <w:pPr>
      <w:spacing w:line="360" w:lineRule="auto"/>
      <w:ind w:firstLine="200" w:firstLineChars="200"/>
    </w:pPr>
    <w:rPr>
      <w:sz w:val="24"/>
      <w:szCs w:val="21"/>
    </w:rPr>
  </w:style>
  <w:style w:type="character" w:customStyle="1" w:styleId="26">
    <w:name w:val="node-text2"/>
    <w:uiPriority w:val="0"/>
  </w:style>
  <w:style w:type="character" w:customStyle="1" w:styleId="27">
    <w:name w:val="页眉 Char"/>
    <w:basedOn w:val="17"/>
    <w:link w:val="11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页脚 Char"/>
    <w:basedOn w:val="17"/>
    <w:link w:val="10"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0">
    <w:name w:val="批注文字 Char"/>
    <w:basedOn w:val="17"/>
    <w:link w:val="7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31">
    <w:name w:val="批注主题 Char"/>
    <w:basedOn w:val="30"/>
    <w:link w:val="15"/>
    <w:semiHidden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32">
    <w:name w:val="批注框文本 Char"/>
    <w:basedOn w:val="17"/>
    <w:link w:val="9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3CFA4F-C91D-4579-84A2-456972CD51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392</Words>
  <Characters>2240</Characters>
  <Lines>18</Lines>
  <Paragraphs>5</Paragraphs>
  <TotalTime>7</TotalTime>
  <ScaleCrop>false</ScaleCrop>
  <LinksUpToDate>false</LinksUpToDate>
  <CharactersWithSpaces>2627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2019-01-17T03:02:00Z</dcterms:created>
  <dc:creator>China</dc:creator>
  <cp:lastModifiedBy>Administrator</cp:lastModifiedBy>
  <cp:lastPrinted>2019-08-09T09:28:00Z</cp:lastPrinted>
  <dcterms:modified xsi:type="dcterms:W3CDTF">2020-09-27T05:14:35Z</dcterms:modified>
  <cp:revision>443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